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86" w:rsidRDefault="00293486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Tahoma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5C3FE1" wp14:editId="040B5AE2">
            <wp:simplePos x="0" y="0"/>
            <wp:positionH relativeFrom="column">
              <wp:posOffset>928254</wp:posOffset>
            </wp:positionH>
            <wp:positionV relativeFrom="paragraph">
              <wp:posOffset>34636</wp:posOffset>
            </wp:positionV>
            <wp:extent cx="3825965" cy="2549237"/>
            <wp:effectExtent l="0" t="0" r="3175" b="3810"/>
            <wp:wrapNone/>
            <wp:docPr id="3" name="图片 3" descr="https://img0.baidu.com/it/u=1542688060,2135071940&amp;fm=253&amp;fmt=auto&amp;app=138&amp;f=JPEG?w=750&amp;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baidu.com/it/u=1542688060,2135071940&amp;fm=253&amp;fmt=auto&amp;app=138&amp;f=JPEG?w=750&amp;h=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928" cy="254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486">
        <w:t xml:space="preserve"> </w:t>
      </w:r>
    </w:p>
    <w:p w:rsidR="00293486" w:rsidRDefault="00293486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Tahoma"/>
          <w:color w:val="000000"/>
          <w:bdr w:val="none" w:sz="0" w:space="0" w:color="auto" w:frame="1"/>
        </w:rPr>
      </w:pPr>
    </w:p>
    <w:p w:rsidR="00293486" w:rsidRDefault="00293486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Tahoma"/>
          <w:color w:val="000000"/>
          <w:bdr w:val="none" w:sz="0" w:space="0" w:color="auto" w:frame="1"/>
        </w:rPr>
      </w:pPr>
    </w:p>
    <w:p w:rsidR="00293486" w:rsidRDefault="00293486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Tahoma"/>
          <w:color w:val="000000"/>
          <w:bdr w:val="none" w:sz="0" w:space="0" w:color="auto" w:frame="1"/>
        </w:rPr>
      </w:pPr>
    </w:p>
    <w:p w:rsidR="00293486" w:rsidRDefault="00293486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Tahoma"/>
          <w:color w:val="000000"/>
          <w:bdr w:val="none" w:sz="0" w:space="0" w:color="auto" w:frame="1"/>
        </w:rPr>
      </w:pPr>
    </w:p>
    <w:p w:rsidR="00293486" w:rsidRDefault="00293486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Tahoma"/>
          <w:color w:val="000000"/>
          <w:bdr w:val="none" w:sz="0" w:space="0" w:color="auto" w:frame="1"/>
        </w:rPr>
      </w:pPr>
    </w:p>
    <w:p w:rsidR="00293486" w:rsidRDefault="00293486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Tahoma"/>
          <w:color w:val="000000"/>
          <w:bdr w:val="none" w:sz="0" w:space="0" w:color="auto" w:frame="1"/>
        </w:rPr>
      </w:pPr>
    </w:p>
    <w:p w:rsidR="00293486" w:rsidRPr="00293486" w:rsidRDefault="00293486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Times New Roman" w:hAnsi="Times New Roman" w:cs="Tahoma"/>
          <w:color w:val="333333"/>
          <w:sz w:val="21"/>
          <w:szCs w:val="21"/>
        </w:rPr>
      </w:pP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喻景权，中国工程院院士，浙江大学教授，农业生命环境学部常务副主任；教育部长江学者特聘教授，国家杰出青年科学基金获得者，第十二届光华工程科技奖获得者，全国“五一”劳动奖章获得者，全国优秀教师获得者。现任国家“双一流”建设学科浙江大学园艺学学科负责人、国家大宗蔬菜产业技术体系栽培室主任、农业农村部园艺作物生长发育重点实验室主任、中国园艺学会设施园艺学会副会长、国家蔬菜科技与产业联盟副理事长、教育部园艺类分教指委副主任委员；担任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Front Plant Sci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、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Mol Hort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和《园艺学报》等刊物副主编。</w:t>
      </w:r>
    </w:p>
    <w:p w:rsidR="00293486" w:rsidRDefault="00293486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Times New Roman" w:hAnsi="Times New Roman" w:cs="Tahoma" w:hint="eastAsia"/>
          <w:color w:val="000000"/>
          <w:bdr w:val="none" w:sz="0" w:space="0" w:color="auto" w:frame="1"/>
        </w:rPr>
      </w:pP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长期从事蔬菜生长发育与抗逆调控机制的研究，是国家重点研发计划“主要经济作物优质高产与产业提质增效科技创新”专项大组专家组成员，先后主持国家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973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计划、国家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863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计划、国家科技支撑计划、国家自然科学基金等国家重点项目的实施，在蔬菜抗逆高产调控理论上取得重要突破，在蔬菜抗逆生产、连作障碍防控、栽培模式革新三个产业关键问题上取得原创性成果，技术广泛应用于长江中下游和黄河流域设施蔬菜主产区，为我国蔬菜产业升级和西北非耕地开发利用做出了重要贡献。在</w:t>
      </w:r>
      <w:r w:rsidRPr="00293486">
        <w:rPr>
          <w:rFonts w:ascii="Times New Roman" w:hAnsi="Times New Roman" w:cs="Times New Roman"/>
          <w:color w:val="000000"/>
          <w:bdr w:val="none" w:sz="0" w:space="0" w:color="auto" w:frame="1"/>
        </w:rPr>
        <w:t>PNAS</w:t>
      </w:r>
      <w:r w:rsidRPr="00293486">
        <w:rPr>
          <w:rFonts w:ascii="Times New Roman" w:hAnsi="Times New Roman" w:cs="Times New Roman"/>
          <w:color w:val="000000"/>
          <w:bdr w:val="none" w:sz="0" w:space="0" w:color="auto" w:frame="1"/>
        </w:rPr>
        <w:t>、</w:t>
      </w:r>
      <w:r w:rsidRPr="00293486">
        <w:rPr>
          <w:rFonts w:ascii="Times New Roman" w:hAnsi="Times New Roman" w:cs="Times New Roman"/>
          <w:color w:val="000000"/>
          <w:bdr w:val="none" w:sz="0" w:space="0" w:color="auto" w:frame="1"/>
        </w:rPr>
        <w:t>Current Biology</w:t>
      </w:r>
      <w:r w:rsidRPr="00293486">
        <w:rPr>
          <w:rFonts w:ascii="Times New Roman" w:hAnsi="Times New Roman" w:cs="Times New Roman"/>
          <w:color w:val="000000"/>
          <w:bdr w:val="none" w:sz="0" w:space="0" w:color="auto" w:frame="1"/>
        </w:rPr>
        <w:t>、</w:t>
      </w:r>
      <w:r w:rsidRPr="00293486">
        <w:rPr>
          <w:rFonts w:ascii="Times New Roman" w:hAnsi="Times New Roman" w:cs="Times New Roman"/>
          <w:color w:val="000000"/>
          <w:bdr w:val="none" w:sz="0" w:space="0" w:color="auto" w:frame="1"/>
        </w:rPr>
        <w:t>New Phytologist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等国际刊物发表论文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180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余篇，被引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1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万余次，入选全球高被引科学家，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H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指数为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60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。以第一完成人获得了国家自然科学奖二等奖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1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项、国家科技进步奖二等奖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1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项、省部一等奖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4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项。指导获全国百篇优秀博士论文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2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篇，提名论文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2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篇；毕业生入选国家级人才计划</w:t>
      </w:r>
      <w:r w:rsidRPr="00293486">
        <w:rPr>
          <w:rFonts w:ascii="Times New Roman" w:hAnsi="Times New Roman" w:cs="Tahoma"/>
          <w:color w:val="000000"/>
          <w:bdr w:val="none" w:sz="0" w:space="0" w:color="auto" w:frame="1"/>
        </w:rPr>
        <w:t>9</w:t>
      </w:r>
      <w:r w:rsidRPr="00293486">
        <w:rPr>
          <w:rFonts w:ascii="Times New Roman" w:hAnsi="Times New Roman" w:cs="Tahoma" w:hint="eastAsia"/>
          <w:color w:val="000000"/>
          <w:bdr w:val="none" w:sz="0" w:space="0" w:color="auto" w:frame="1"/>
        </w:rPr>
        <w:t>人次。</w:t>
      </w:r>
    </w:p>
    <w:p w:rsidR="00BB1C09" w:rsidRPr="00BB1C09" w:rsidRDefault="00BB1C09" w:rsidP="00293486">
      <w:pPr>
        <w:pStyle w:val="a6"/>
        <w:shd w:val="clear" w:color="auto" w:fill="FFFFFF"/>
        <w:spacing w:before="0" w:beforeAutospacing="0" w:after="0" w:afterAutospacing="0" w:line="420" w:lineRule="atLeast"/>
        <w:ind w:firstLine="645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imes New Roman" w:hAnsi="Times New Roman" w:cs="Tahoma" w:hint="eastAsia"/>
          <w:color w:val="000000"/>
          <w:bdr w:val="none" w:sz="0" w:space="0" w:color="auto" w:frame="1"/>
        </w:rPr>
        <w:t>联系方式：</w:t>
      </w:r>
      <w:r w:rsidRPr="00BB1C09">
        <w:rPr>
          <w:rFonts w:ascii="Times New Roman" w:hAnsi="Times New Roman" w:cs="Tahoma"/>
          <w:color w:val="000000"/>
          <w:bdr w:val="none" w:sz="0" w:space="0" w:color="auto" w:frame="1"/>
        </w:rPr>
        <w:t>jqyu@zju.edu.cn</w:t>
      </w:r>
    </w:p>
    <w:p w:rsidR="00E662FF" w:rsidRPr="00293486" w:rsidRDefault="00E662FF">
      <w:bookmarkStart w:id="0" w:name="_GoBack"/>
      <w:bookmarkEnd w:id="0"/>
    </w:p>
    <w:sectPr w:rsidR="00E662FF" w:rsidRPr="00293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D0" w:rsidRDefault="00A32FD0" w:rsidP="00293486">
      <w:r>
        <w:separator/>
      </w:r>
    </w:p>
  </w:endnote>
  <w:endnote w:type="continuationSeparator" w:id="0">
    <w:p w:rsidR="00A32FD0" w:rsidRDefault="00A32FD0" w:rsidP="0029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D0" w:rsidRDefault="00A32FD0" w:rsidP="00293486">
      <w:r>
        <w:separator/>
      </w:r>
    </w:p>
  </w:footnote>
  <w:footnote w:type="continuationSeparator" w:id="0">
    <w:p w:rsidR="00A32FD0" w:rsidRDefault="00A32FD0" w:rsidP="0029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E5"/>
    <w:rsid w:val="000E6BE5"/>
    <w:rsid w:val="00293486"/>
    <w:rsid w:val="00974ECD"/>
    <w:rsid w:val="00A32FD0"/>
    <w:rsid w:val="00BB1C09"/>
    <w:rsid w:val="00E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4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4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4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48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93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4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4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4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48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93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li</dc:creator>
  <cp:keywords/>
  <dc:description/>
  <cp:lastModifiedBy>good li</cp:lastModifiedBy>
  <cp:revision>3</cp:revision>
  <dcterms:created xsi:type="dcterms:W3CDTF">2024-01-17T07:38:00Z</dcterms:created>
  <dcterms:modified xsi:type="dcterms:W3CDTF">2024-01-17T07:54:00Z</dcterms:modified>
</cp:coreProperties>
</file>